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4B" w:rsidRDefault="00B6664B" w:rsidP="00103EC4">
      <w:pPr>
        <w:ind w:right="-720"/>
        <w:rPr>
          <w:rFonts w:asciiTheme="minorHAnsi" w:hAnsiTheme="minorHAnsi"/>
          <w:sz w:val="22"/>
        </w:rPr>
      </w:pPr>
      <w:r>
        <w:rPr>
          <w:rFonts w:asciiTheme="minorHAnsi" w:hAnsiTheme="minorHAnsi"/>
          <w:noProof/>
          <w:sz w:val="22"/>
        </w:rPr>
        <w:drawing>
          <wp:anchor distT="0" distB="0" distL="114300" distR="114300" simplePos="0" relativeHeight="251658240" behindDoc="0" locked="0" layoutInCell="1" allowOverlap="1">
            <wp:simplePos x="0" y="0"/>
            <wp:positionH relativeFrom="column">
              <wp:posOffset>19050</wp:posOffset>
            </wp:positionH>
            <wp:positionV relativeFrom="paragraph">
              <wp:posOffset>0</wp:posOffset>
            </wp:positionV>
            <wp:extent cx="1209675" cy="1133475"/>
            <wp:effectExtent l="19050" t="0" r="9525" b="0"/>
            <wp:wrapSquare wrapText="bothSides"/>
            <wp:docPr id="1" name="Picture 0" descr="Logo_Seal+Type_One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eal+Type_OneLine.jpg"/>
                    <pic:cNvPicPr/>
                  </pic:nvPicPr>
                  <pic:blipFill>
                    <a:blip r:embed="rId5" cstate="print"/>
                    <a:srcRect r="77951"/>
                    <a:stretch>
                      <a:fillRect/>
                    </a:stretch>
                  </pic:blipFill>
                  <pic:spPr>
                    <a:xfrm>
                      <a:off x="0" y="0"/>
                      <a:ext cx="1209675" cy="1133475"/>
                    </a:xfrm>
                    <a:prstGeom prst="rect">
                      <a:avLst/>
                    </a:prstGeom>
                  </pic:spPr>
                </pic:pic>
              </a:graphicData>
            </a:graphic>
          </wp:anchor>
        </w:drawing>
      </w:r>
    </w:p>
    <w:p w:rsidR="00103EC4" w:rsidRPr="00CF7E61" w:rsidRDefault="00103EC4" w:rsidP="00103EC4">
      <w:pPr>
        <w:ind w:right="-720"/>
        <w:rPr>
          <w:rFonts w:asciiTheme="minorHAnsi" w:hAnsiTheme="minorHAnsi"/>
          <w:sz w:val="22"/>
        </w:rPr>
      </w:pPr>
      <w:r w:rsidRPr="00CF7E61">
        <w:rPr>
          <w:rFonts w:asciiTheme="minorHAnsi" w:hAnsiTheme="minorHAnsi"/>
          <w:sz w:val="22"/>
        </w:rPr>
        <w:t xml:space="preserve">The Office of Trustee Relations of the Department of Higher Education, </w:t>
      </w:r>
    </w:p>
    <w:p w:rsidR="00103EC4" w:rsidRPr="00CF7E61" w:rsidRDefault="00103EC4" w:rsidP="00103EC4">
      <w:pPr>
        <w:ind w:right="-720"/>
        <w:rPr>
          <w:rFonts w:asciiTheme="minorHAnsi" w:hAnsiTheme="minorHAnsi"/>
          <w:sz w:val="22"/>
        </w:rPr>
      </w:pPr>
      <w:r w:rsidRPr="00CF7E61">
        <w:rPr>
          <w:rFonts w:asciiTheme="minorHAnsi" w:hAnsiTheme="minorHAnsi"/>
          <w:sz w:val="22"/>
        </w:rPr>
        <w:t xml:space="preserve">The Office of the Inspector General, </w:t>
      </w:r>
    </w:p>
    <w:p w:rsidR="00103EC4" w:rsidRPr="00CF7E61" w:rsidRDefault="00103EC4" w:rsidP="00103EC4">
      <w:pPr>
        <w:ind w:right="-720"/>
        <w:rPr>
          <w:rFonts w:asciiTheme="minorHAnsi" w:hAnsiTheme="minorHAnsi"/>
          <w:sz w:val="22"/>
        </w:rPr>
      </w:pPr>
      <w:r w:rsidRPr="00CF7E61">
        <w:rPr>
          <w:rFonts w:asciiTheme="minorHAnsi" w:hAnsiTheme="minorHAnsi"/>
          <w:sz w:val="22"/>
        </w:rPr>
        <w:t>The Non-Profit Organizations/Public Charities Division of Attorney General</w:t>
      </w:r>
      <w:r w:rsidR="00243A6C">
        <w:rPr>
          <w:rFonts w:asciiTheme="minorHAnsi" w:hAnsiTheme="minorHAnsi"/>
          <w:sz w:val="22"/>
        </w:rPr>
        <w:t xml:space="preserve"> Maura Healey</w:t>
      </w:r>
      <w:r w:rsidRPr="00CF7E61">
        <w:rPr>
          <w:rFonts w:asciiTheme="minorHAnsi" w:hAnsiTheme="minorHAnsi"/>
          <w:sz w:val="22"/>
        </w:rPr>
        <w:t>’s Office</w:t>
      </w:r>
      <w:r w:rsidR="00243A6C">
        <w:rPr>
          <w:rFonts w:asciiTheme="minorHAnsi" w:hAnsiTheme="minorHAnsi"/>
          <w:sz w:val="22"/>
        </w:rPr>
        <w:t>,</w:t>
      </w:r>
      <w:r w:rsidRPr="00CF7E61">
        <w:rPr>
          <w:rFonts w:asciiTheme="minorHAnsi" w:hAnsiTheme="minorHAnsi"/>
          <w:sz w:val="22"/>
        </w:rPr>
        <w:t xml:space="preserve"> and</w:t>
      </w:r>
    </w:p>
    <w:p w:rsidR="00103EC4" w:rsidRPr="00CF7E61" w:rsidRDefault="00103EC4" w:rsidP="00103EC4">
      <w:pPr>
        <w:rPr>
          <w:rFonts w:asciiTheme="minorHAnsi" w:hAnsiTheme="minorHAnsi"/>
          <w:sz w:val="22"/>
        </w:rPr>
      </w:pPr>
      <w:r w:rsidRPr="00CF7E61">
        <w:rPr>
          <w:rFonts w:asciiTheme="minorHAnsi" w:hAnsiTheme="minorHAnsi"/>
          <w:sz w:val="22"/>
        </w:rPr>
        <w:t>The Ethics Commission</w:t>
      </w:r>
    </w:p>
    <w:p w:rsidR="00AD0CC2" w:rsidRDefault="00AD0CC2" w:rsidP="00103EC4">
      <w:pPr>
        <w:rPr>
          <w:rFonts w:asciiTheme="majorHAnsi" w:hAnsiTheme="majorHAnsi"/>
        </w:rPr>
      </w:pPr>
    </w:p>
    <w:p w:rsidR="00103EC4" w:rsidRDefault="00273C0B" w:rsidP="00AD0CC2">
      <w:pPr>
        <w:jc w:val="center"/>
        <w:rPr>
          <w:rFonts w:asciiTheme="minorHAnsi" w:hAnsiTheme="minorHAnsi"/>
        </w:rPr>
      </w:pPr>
      <w:r>
        <w:rPr>
          <w:rFonts w:asciiTheme="minorHAnsi" w:hAnsiTheme="minorHAnsi"/>
        </w:rPr>
        <w:t>present a</w:t>
      </w:r>
    </w:p>
    <w:p w:rsidR="00CF7E61" w:rsidRPr="00AD0CC2" w:rsidRDefault="00CF7E61" w:rsidP="00AD0CC2">
      <w:pPr>
        <w:jc w:val="center"/>
        <w:rPr>
          <w:rFonts w:asciiTheme="minorHAnsi" w:hAnsiTheme="minorHAnsi"/>
          <w:b/>
        </w:rPr>
      </w:pPr>
    </w:p>
    <w:p w:rsidR="0040767F" w:rsidRPr="00CF7E61" w:rsidRDefault="0040767F" w:rsidP="0040767F">
      <w:pPr>
        <w:jc w:val="center"/>
        <w:rPr>
          <w:rFonts w:ascii="Monotype Corsiva" w:hAnsi="Monotype Corsiva"/>
          <w:b/>
          <w:sz w:val="36"/>
        </w:rPr>
      </w:pPr>
      <w:r w:rsidRPr="00CF7E61">
        <w:rPr>
          <w:rFonts w:ascii="Monotype Corsiva" w:hAnsi="Monotype Corsiva"/>
          <w:b/>
          <w:sz w:val="36"/>
        </w:rPr>
        <w:t>Multi-Agency Seminar</w:t>
      </w:r>
    </w:p>
    <w:p w:rsidR="00CF7E61" w:rsidRDefault="00CF7E61">
      <w:pPr>
        <w:rPr>
          <w:rFonts w:asciiTheme="majorHAnsi" w:hAnsiTheme="majorHAnsi"/>
        </w:rPr>
      </w:pPr>
    </w:p>
    <w:p w:rsidR="00103EC4" w:rsidRDefault="00CF7E61">
      <w:pPr>
        <w:rPr>
          <w:rFonts w:asciiTheme="majorHAnsi" w:hAnsiTheme="majorHAnsi"/>
        </w:rPr>
      </w:pPr>
      <w:r>
        <w:rPr>
          <w:rFonts w:asciiTheme="majorHAnsi" w:hAnsiTheme="majorHAnsi"/>
        </w:rPr>
        <w:t>This collaborative seminar is a unique opportunity</w:t>
      </w:r>
      <w:r w:rsidR="0018551E">
        <w:rPr>
          <w:rFonts w:asciiTheme="majorHAnsi" w:hAnsiTheme="majorHAnsi"/>
        </w:rPr>
        <w:t xml:space="preserve"> to </w:t>
      </w:r>
      <w:r w:rsidR="00243A6C">
        <w:rPr>
          <w:rFonts w:asciiTheme="majorHAnsi" w:hAnsiTheme="majorHAnsi"/>
        </w:rPr>
        <w:t>have a dialogue</w:t>
      </w:r>
      <w:r w:rsidR="0018551E">
        <w:rPr>
          <w:rFonts w:asciiTheme="majorHAnsi" w:hAnsiTheme="majorHAnsi"/>
        </w:rPr>
        <w:t xml:space="preserve"> with many of the agencies that provide </w:t>
      </w:r>
      <w:r w:rsidR="00243A6C">
        <w:rPr>
          <w:rFonts w:asciiTheme="majorHAnsi" w:hAnsiTheme="majorHAnsi"/>
        </w:rPr>
        <w:t xml:space="preserve">oversight </w:t>
      </w:r>
      <w:r w:rsidR="0018551E">
        <w:rPr>
          <w:rFonts w:asciiTheme="majorHAnsi" w:hAnsiTheme="majorHAnsi"/>
        </w:rPr>
        <w:t xml:space="preserve">and </w:t>
      </w:r>
      <w:r w:rsidR="00243A6C">
        <w:rPr>
          <w:rFonts w:asciiTheme="majorHAnsi" w:hAnsiTheme="majorHAnsi"/>
        </w:rPr>
        <w:t>guidance to the</w:t>
      </w:r>
      <w:r w:rsidR="0018551E">
        <w:rPr>
          <w:rFonts w:asciiTheme="majorHAnsi" w:hAnsiTheme="majorHAnsi"/>
        </w:rPr>
        <w:t xml:space="preserve"> Boards of Trustees, Foundation Boards and campus staff.</w:t>
      </w:r>
      <w:r w:rsidR="00654C89">
        <w:rPr>
          <w:rFonts w:asciiTheme="majorHAnsi" w:hAnsiTheme="majorHAnsi"/>
        </w:rPr>
        <w:t xml:space="preserve">  The seminar will </w:t>
      </w:r>
      <w:r w:rsidR="00243A6C">
        <w:rPr>
          <w:rFonts w:asciiTheme="majorHAnsi" w:hAnsiTheme="majorHAnsi"/>
        </w:rPr>
        <w:t>include</w:t>
      </w:r>
      <w:r w:rsidR="008454A3">
        <w:rPr>
          <w:rFonts w:asciiTheme="majorHAnsi" w:hAnsiTheme="majorHAnsi"/>
        </w:rPr>
        <w:t xml:space="preserve"> brief </w:t>
      </w:r>
      <w:r w:rsidR="00B1221C">
        <w:rPr>
          <w:rFonts w:asciiTheme="majorHAnsi" w:hAnsiTheme="majorHAnsi"/>
        </w:rPr>
        <w:t>overview</w:t>
      </w:r>
      <w:r w:rsidR="00243A6C">
        <w:rPr>
          <w:rFonts w:asciiTheme="majorHAnsi" w:hAnsiTheme="majorHAnsi"/>
        </w:rPr>
        <w:t>s</w:t>
      </w:r>
      <w:r w:rsidR="00B1221C">
        <w:rPr>
          <w:rFonts w:asciiTheme="majorHAnsi" w:hAnsiTheme="majorHAnsi"/>
        </w:rPr>
        <w:t xml:space="preserve"> of the functions of </w:t>
      </w:r>
      <w:r w:rsidR="00243A6C">
        <w:rPr>
          <w:rFonts w:asciiTheme="majorHAnsi" w:hAnsiTheme="majorHAnsi"/>
        </w:rPr>
        <w:t xml:space="preserve">the various </w:t>
      </w:r>
      <w:r w:rsidR="008454A3">
        <w:rPr>
          <w:rFonts w:asciiTheme="majorHAnsi" w:hAnsiTheme="majorHAnsi"/>
        </w:rPr>
        <w:t xml:space="preserve">agencies </w:t>
      </w:r>
      <w:r w:rsidR="00654C89">
        <w:rPr>
          <w:rFonts w:asciiTheme="majorHAnsi" w:hAnsiTheme="majorHAnsi"/>
        </w:rPr>
        <w:t xml:space="preserve">and an </w:t>
      </w:r>
      <w:r w:rsidR="008454A3">
        <w:rPr>
          <w:rFonts w:asciiTheme="majorHAnsi" w:hAnsiTheme="majorHAnsi"/>
        </w:rPr>
        <w:t>interactive</w:t>
      </w:r>
      <w:r w:rsidR="00243A6C">
        <w:rPr>
          <w:rFonts w:asciiTheme="majorHAnsi" w:hAnsiTheme="majorHAnsi"/>
        </w:rPr>
        <w:t>,</w:t>
      </w:r>
      <w:r w:rsidR="008454A3">
        <w:rPr>
          <w:rFonts w:asciiTheme="majorHAnsi" w:hAnsiTheme="majorHAnsi"/>
        </w:rPr>
        <w:t xml:space="preserve"> </w:t>
      </w:r>
      <w:r w:rsidR="00654C89">
        <w:rPr>
          <w:rFonts w:asciiTheme="majorHAnsi" w:hAnsiTheme="majorHAnsi"/>
        </w:rPr>
        <w:t>multi-agency</w:t>
      </w:r>
      <w:r w:rsidR="008454A3">
        <w:rPr>
          <w:rFonts w:asciiTheme="majorHAnsi" w:hAnsiTheme="majorHAnsi"/>
        </w:rPr>
        <w:t xml:space="preserve"> </w:t>
      </w:r>
      <w:r w:rsidR="00654C89">
        <w:rPr>
          <w:rFonts w:asciiTheme="majorHAnsi" w:hAnsiTheme="majorHAnsi"/>
        </w:rPr>
        <w:t>panel</w:t>
      </w:r>
      <w:r w:rsidR="00243A6C">
        <w:rPr>
          <w:rFonts w:asciiTheme="majorHAnsi" w:hAnsiTheme="majorHAnsi"/>
        </w:rPr>
        <w:t xml:space="preserve"> discussion on many hot-button issues in</w:t>
      </w:r>
      <w:r w:rsidR="0099035B">
        <w:rPr>
          <w:rFonts w:asciiTheme="majorHAnsi" w:hAnsiTheme="majorHAnsi"/>
        </w:rPr>
        <w:t xml:space="preserve"> public</w:t>
      </w:r>
      <w:r w:rsidR="00243A6C">
        <w:rPr>
          <w:rFonts w:asciiTheme="majorHAnsi" w:hAnsiTheme="majorHAnsi"/>
        </w:rPr>
        <w:t xml:space="preserve"> higher education</w:t>
      </w:r>
      <w:r w:rsidR="00654C89">
        <w:rPr>
          <w:rFonts w:asciiTheme="majorHAnsi" w:hAnsiTheme="majorHAnsi"/>
        </w:rPr>
        <w:t>.  The</w:t>
      </w:r>
      <w:r w:rsidR="008454A3">
        <w:rPr>
          <w:rFonts w:asciiTheme="majorHAnsi" w:hAnsiTheme="majorHAnsi"/>
        </w:rPr>
        <w:t xml:space="preserve"> panel</w:t>
      </w:r>
      <w:r w:rsidR="00B1221C">
        <w:rPr>
          <w:rFonts w:asciiTheme="majorHAnsi" w:hAnsiTheme="majorHAnsi"/>
        </w:rPr>
        <w:t xml:space="preserve"> will </w:t>
      </w:r>
      <w:r w:rsidR="001C156A">
        <w:rPr>
          <w:rFonts w:asciiTheme="majorHAnsi" w:hAnsiTheme="majorHAnsi"/>
        </w:rPr>
        <w:t>allow</w:t>
      </w:r>
      <w:r w:rsidR="00B1221C">
        <w:rPr>
          <w:rFonts w:asciiTheme="majorHAnsi" w:hAnsiTheme="majorHAnsi"/>
        </w:rPr>
        <w:t xml:space="preserve"> participants </w:t>
      </w:r>
      <w:r w:rsidR="001C156A">
        <w:rPr>
          <w:rFonts w:asciiTheme="majorHAnsi" w:hAnsiTheme="majorHAnsi"/>
        </w:rPr>
        <w:t xml:space="preserve">to </w:t>
      </w:r>
      <w:r w:rsidR="0099035B">
        <w:rPr>
          <w:rFonts w:asciiTheme="majorHAnsi" w:hAnsiTheme="majorHAnsi"/>
        </w:rPr>
        <w:t>consider and discuss</w:t>
      </w:r>
      <w:r w:rsidR="008454A3">
        <w:rPr>
          <w:rFonts w:asciiTheme="majorHAnsi" w:hAnsiTheme="majorHAnsi"/>
        </w:rPr>
        <w:t xml:space="preserve"> </w:t>
      </w:r>
      <w:r w:rsidR="00654C89">
        <w:rPr>
          <w:rFonts w:asciiTheme="majorHAnsi" w:hAnsiTheme="majorHAnsi"/>
        </w:rPr>
        <w:t xml:space="preserve">hypothetical </w:t>
      </w:r>
      <w:r w:rsidR="0099035B">
        <w:rPr>
          <w:rFonts w:asciiTheme="majorHAnsi" w:hAnsiTheme="majorHAnsi"/>
        </w:rPr>
        <w:t>scenarios</w:t>
      </w:r>
      <w:r w:rsidR="00B1221C">
        <w:rPr>
          <w:rFonts w:asciiTheme="majorHAnsi" w:hAnsiTheme="majorHAnsi"/>
        </w:rPr>
        <w:t xml:space="preserve"> </w:t>
      </w:r>
      <w:r w:rsidR="001C156A">
        <w:rPr>
          <w:rFonts w:asciiTheme="majorHAnsi" w:hAnsiTheme="majorHAnsi"/>
        </w:rPr>
        <w:t>with each other and the</w:t>
      </w:r>
      <w:r w:rsidR="0099035B">
        <w:rPr>
          <w:rFonts w:asciiTheme="majorHAnsi" w:hAnsiTheme="majorHAnsi"/>
        </w:rPr>
        <w:t xml:space="preserve"> expert</w:t>
      </w:r>
      <w:r w:rsidR="001C156A">
        <w:rPr>
          <w:rFonts w:asciiTheme="majorHAnsi" w:hAnsiTheme="majorHAnsi"/>
        </w:rPr>
        <w:t xml:space="preserve"> panelists.</w:t>
      </w:r>
    </w:p>
    <w:p w:rsidR="00CF7E61" w:rsidRPr="0040767F" w:rsidRDefault="00CF7E61">
      <w:pPr>
        <w:rPr>
          <w:rFonts w:asciiTheme="majorHAnsi" w:hAnsiTheme="majorHAnsi"/>
        </w:rPr>
      </w:pPr>
    </w:p>
    <w:p w:rsidR="00A17A7B" w:rsidRPr="00434EBB" w:rsidRDefault="00345A26">
      <w:pPr>
        <w:rPr>
          <w:rFonts w:asciiTheme="minorHAnsi" w:hAnsiTheme="minorHAnsi"/>
          <w:b/>
        </w:rPr>
      </w:pPr>
      <w:r w:rsidRPr="00434EBB">
        <w:rPr>
          <w:rFonts w:asciiTheme="minorHAnsi" w:hAnsiTheme="minorHAnsi"/>
          <w:b/>
        </w:rPr>
        <w:t>Locations:</w:t>
      </w:r>
    </w:p>
    <w:p w:rsidR="00345A26" w:rsidRPr="00434EBB" w:rsidRDefault="00345A26" w:rsidP="00345A26">
      <w:pPr>
        <w:ind w:left="1440" w:hanging="1440"/>
        <w:rPr>
          <w:rFonts w:asciiTheme="minorHAnsi" w:hAnsiTheme="minorHAnsi"/>
        </w:rPr>
      </w:pPr>
      <w:r w:rsidRPr="00434EBB">
        <w:rPr>
          <w:rFonts w:asciiTheme="minorHAnsi" w:hAnsiTheme="minorHAnsi"/>
        </w:rPr>
        <w:t>March 4</w:t>
      </w:r>
      <w:r w:rsidRPr="00434EBB">
        <w:rPr>
          <w:rFonts w:asciiTheme="minorHAnsi" w:hAnsiTheme="minorHAnsi"/>
          <w:vertAlign w:val="superscript"/>
        </w:rPr>
        <w:t>th</w:t>
      </w:r>
      <w:r w:rsidRPr="00434EBB">
        <w:rPr>
          <w:rFonts w:asciiTheme="minorHAnsi" w:hAnsiTheme="minorHAnsi"/>
        </w:rPr>
        <w:t xml:space="preserve">: </w:t>
      </w:r>
      <w:r w:rsidRPr="00434EBB">
        <w:rPr>
          <w:rFonts w:asciiTheme="minorHAnsi" w:hAnsiTheme="minorHAnsi"/>
        </w:rPr>
        <w:tab/>
        <w:t>Massasoit Community College, Conference Center, 77</w:t>
      </w:r>
      <w:r w:rsidR="00E8488E">
        <w:rPr>
          <w:rFonts w:asciiTheme="minorHAnsi" w:hAnsiTheme="minorHAnsi"/>
        </w:rPr>
        <w:t>0 Crescent Street, Brockton, MA</w:t>
      </w:r>
    </w:p>
    <w:p w:rsidR="00345A26" w:rsidRPr="00434EBB" w:rsidRDefault="00345A26" w:rsidP="00345A26">
      <w:pPr>
        <w:ind w:left="1440" w:hanging="1440"/>
        <w:rPr>
          <w:rFonts w:asciiTheme="minorHAnsi" w:hAnsiTheme="minorHAnsi"/>
        </w:rPr>
      </w:pPr>
    </w:p>
    <w:p w:rsidR="00345A26" w:rsidRPr="00434EBB" w:rsidRDefault="00345A26" w:rsidP="00E8488E">
      <w:pPr>
        <w:ind w:left="1440" w:hanging="1440"/>
        <w:rPr>
          <w:rFonts w:asciiTheme="minorHAnsi" w:hAnsiTheme="minorHAnsi"/>
        </w:rPr>
      </w:pPr>
      <w:r w:rsidRPr="00434EBB">
        <w:rPr>
          <w:rFonts w:asciiTheme="minorHAnsi" w:hAnsiTheme="minorHAnsi"/>
        </w:rPr>
        <w:t>March 5</w:t>
      </w:r>
      <w:r w:rsidR="00E8488E" w:rsidRPr="00434EBB">
        <w:rPr>
          <w:rFonts w:asciiTheme="minorHAnsi" w:hAnsiTheme="minorHAnsi"/>
          <w:vertAlign w:val="superscript"/>
        </w:rPr>
        <w:t>th</w:t>
      </w:r>
      <w:r w:rsidRPr="00434EBB">
        <w:rPr>
          <w:rFonts w:asciiTheme="minorHAnsi" w:hAnsiTheme="minorHAnsi"/>
        </w:rPr>
        <w:t xml:space="preserve">: </w:t>
      </w:r>
      <w:r w:rsidRPr="00434EBB">
        <w:rPr>
          <w:rFonts w:asciiTheme="minorHAnsi" w:hAnsiTheme="minorHAnsi"/>
        </w:rPr>
        <w:tab/>
        <w:t>Holyoke Community College, Kittridge Conference Center, 303 Homest</w:t>
      </w:r>
      <w:r w:rsidR="00E8488E">
        <w:rPr>
          <w:rFonts w:asciiTheme="minorHAnsi" w:hAnsiTheme="minorHAnsi"/>
        </w:rPr>
        <w:t>ead Avenue 301/303, Holyoke, MA</w:t>
      </w:r>
    </w:p>
    <w:p w:rsidR="00E8488E" w:rsidRDefault="00E8488E">
      <w:pPr>
        <w:rPr>
          <w:rFonts w:asciiTheme="minorHAnsi" w:hAnsiTheme="minorHAnsi"/>
        </w:rPr>
      </w:pPr>
    </w:p>
    <w:p w:rsidR="00F8618D" w:rsidRPr="00434EBB" w:rsidRDefault="00E8488E">
      <w:pPr>
        <w:rPr>
          <w:rFonts w:asciiTheme="minorHAnsi" w:hAnsiTheme="minorHAnsi"/>
        </w:rPr>
      </w:pPr>
      <w:r>
        <w:rPr>
          <w:rFonts w:asciiTheme="minorHAnsi" w:hAnsiTheme="minorHAnsi"/>
        </w:rPr>
        <w:t>Both sessions will be held from 9:00 to 1:30</w:t>
      </w:r>
    </w:p>
    <w:p w:rsidR="00F8618D" w:rsidRPr="00434EBB" w:rsidRDefault="00F8618D">
      <w:pPr>
        <w:rPr>
          <w:rFonts w:asciiTheme="minorHAnsi" w:hAnsiTheme="minorHAnsi"/>
        </w:rPr>
      </w:pPr>
    </w:p>
    <w:p w:rsidR="00F8618D" w:rsidRPr="00434EBB" w:rsidRDefault="00103EC4">
      <w:pPr>
        <w:rPr>
          <w:rFonts w:asciiTheme="minorHAnsi" w:hAnsiTheme="minorHAnsi"/>
          <w:b/>
        </w:rPr>
      </w:pPr>
      <w:r w:rsidRPr="00434EBB">
        <w:rPr>
          <w:rFonts w:asciiTheme="minorHAnsi" w:hAnsiTheme="minorHAnsi"/>
          <w:b/>
        </w:rPr>
        <w:t>Agenda and brief descriptions</w:t>
      </w:r>
    </w:p>
    <w:p w:rsidR="00F8618D" w:rsidRPr="00434EBB" w:rsidRDefault="00F8618D">
      <w:pPr>
        <w:rPr>
          <w:rFonts w:asciiTheme="minorHAnsi" w:hAnsiTheme="minorHAnsi"/>
        </w:rPr>
      </w:pPr>
    </w:p>
    <w:p w:rsidR="00A17A7B" w:rsidRPr="00434EBB" w:rsidRDefault="00A17A7B" w:rsidP="00103EC4">
      <w:pPr>
        <w:rPr>
          <w:rFonts w:asciiTheme="minorHAnsi" w:hAnsiTheme="minorHAnsi"/>
        </w:rPr>
      </w:pPr>
      <w:r w:rsidRPr="00434EBB">
        <w:rPr>
          <w:rFonts w:asciiTheme="minorHAnsi" w:hAnsiTheme="minorHAnsi"/>
        </w:rPr>
        <w:t>9:00 – 915:</w:t>
      </w:r>
      <w:r w:rsidRPr="00434EBB">
        <w:rPr>
          <w:rFonts w:asciiTheme="minorHAnsi" w:hAnsiTheme="minorHAnsi"/>
        </w:rPr>
        <w:tab/>
        <w:t xml:space="preserve">Welcome </w:t>
      </w:r>
    </w:p>
    <w:p w:rsidR="00103EC4" w:rsidRPr="00434EBB" w:rsidRDefault="00103EC4" w:rsidP="00103EC4">
      <w:pPr>
        <w:rPr>
          <w:rFonts w:asciiTheme="minorHAnsi" w:hAnsiTheme="minorHAnsi"/>
        </w:rPr>
      </w:pPr>
    </w:p>
    <w:p w:rsidR="00103EC4" w:rsidRPr="00434EBB" w:rsidRDefault="00A17A7B" w:rsidP="00103EC4">
      <w:pPr>
        <w:rPr>
          <w:rFonts w:asciiTheme="minorHAnsi" w:hAnsiTheme="minorHAnsi"/>
        </w:rPr>
      </w:pPr>
      <w:r w:rsidRPr="00434EBB">
        <w:rPr>
          <w:rFonts w:asciiTheme="minorHAnsi" w:hAnsiTheme="minorHAnsi"/>
        </w:rPr>
        <w:t>9:15 – 9:45:</w:t>
      </w:r>
      <w:r w:rsidRPr="00434EBB">
        <w:rPr>
          <w:rFonts w:asciiTheme="minorHAnsi" w:hAnsiTheme="minorHAnsi"/>
        </w:rPr>
        <w:tab/>
      </w:r>
      <w:r w:rsidRPr="00434EBB">
        <w:rPr>
          <w:rFonts w:asciiTheme="minorHAnsi" w:hAnsiTheme="minorHAnsi"/>
          <w:i/>
        </w:rPr>
        <w:t>Trustee Fundamentals</w:t>
      </w:r>
      <w:r w:rsidRPr="00434EBB">
        <w:rPr>
          <w:rFonts w:asciiTheme="minorHAnsi" w:hAnsiTheme="minorHAnsi"/>
        </w:rPr>
        <w:t xml:space="preserve"> </w:t>
      </w:r>
    </w:p>
    <w:p w:rsidR="00103EC4" w:rsidRDefault="001C156A" w:rsidP="00103EC4">
      <w:pPr>
        <w:ind w:left="1440"/>
        <w:rPr>
          <w:rFonts w:asciiTheme="minorHAnsi" w:hAnsiTheme="minorHAnsi"/>
        </w:rPr>
      </w:pPr>
      <w:r>
        <w:rPr>
          <w:rFonts w:asciiTheme="minorHAnsi" w:hAnsiTheme="minorHAnsi"/>
        </w:rPr>
        <w:t xml:space="preserve">This </w:t>
      </w:r>
      <w:r w:rsidR="001C1493">
        <w:rPr>
          <w:rFonts w:asciiTheme="minorHAnsi" w:hAnsiTheme="minorHAnsi"/>
        </w:rPr>
        <w:t>presentation</w:t>
      </w:r>
      <w:r>
        <w:rPr>
          <w:rFonts w:asciiTheme="minorHAnsi" w:hAnsiTheme="minorHAnsi"/>
        </w:rPr>
        <w:t xml:space="preserve"> repeats </w:t>
      </w:r>
      <w:r w:rsidR="001C1493">
        <w:rPr>
          <w:rFonts w:asciiTheme="minorHAnsi" w:hAnsiTheme="minorHAnsi"/>
        </w:rPr>
        <w:t>a similarly titled presentation made at</w:t>
      </w:r>
      <w:r>
        <w:rPr>
          <w:rFonts w:asciiTheme="minorHAnsi" w:hAnsiTheme="minorHAnsi"/>
        </w:rPr>
        <w:t xml:space="preserve"> the last Statewide Conference</w:t>
      </w:r>
      <w:r w:rsidR="00103EC4" w:rsidRPr="00434EBB">
        <w:rPr>
          <w:rFonts w:asciiTheme="minorHAnsi" w:hAnsiTheme="minorHAnsi"/>
        </w:rPr>
        <w:t xml:space="preserve">.  </w:t>
      </w:r>
      <w:r>
        <w:rPr>
          <w:rFonts w:asciiTheme="minorHAnsi" w:hAnsiTheme="minorHAnsi"/>
        </w:rPr>
        <w:t xml:space="preserve">This </w:t>
      </w:r>
      <w:r w:rsidR="00103EC4" w:rsidRPr="00434EBB">
        <w:rPr>
          <w:rFonts w:asciiTheme="minorHAnsi" w:hAnsiTheme="minorHAnsi"/>
        </w:rPr>
        <w:t xml:space="preserve">broad overview of Trusteeship and its responsibilities is intended to orient new trustees and refresh veterans in the basic responsibilities of governing boards as well as Massachusetts statutory requirements and other important items.  </w:t>
      </w:r>
    </w:p>
    <w:p w:rsidR="001C156A" w:rsidRPr="00434EBB" w:rsidRDefault="001C156A" w:rsidP="00103EC4">
      <w:pPr>
        <w:ind w:left="1440"/>
        <w:rPr>
          <w:rFonts w:asciiTheme="minorHAnsi" w:hAnsiTheme="minorHAnsi"/>
        </w:rPr>
      </w:pPr>
    </w:p>
    <w:p w:rsidR="00A17A7B" w:rsidRPr="00434EBB" w:rsidRDefault="00103EC4" w:rsidP="00103EC4">
      <w:pPr>
        <w:ind w:left="1440"/>
        <w:rPr>
          <w:rFonts w:asciiTheme="minorHAnsi" w:hAnsiTheme="minorHAnsi"/>
        </w:rPr>
      </w:pPr>
      <w:r w:rsidRPr="00434EBB">
        <w:rPr>
          <w:rFonts w:asciiTheme="minorHAnsi" w:hAnsiTheme="minorHAnsi"/>
        </w:rPr>
        <w:t xml:space="preserve">Discussion led by </w:t>
      </w:r>
      <w:r w:rsidR="00A17A7B" w:rsidRPr="00434EBB">
        <w:rPr>
          <w:rFonts w:asciiTheme="minorHAnsi" w:hAnsiTheme="minorHAnsi"/>
        </w:rPr>
        <w:t>Mike Mizzoni,</w:t>
      </w:r>
      <w:r w:rsidRPr="00434EBB">
        <w:rPr>
          <w:rFonts w:asciiTheme="minorHAnsi" w:hAnsiTheme="minorHAnsi"/>
        </w:rPr>
        <w:t xml:space="preserve"> </w:t>
      </w:r>
      <w:r w:rsidR="001C1493">
        <w:rPr>
          <w:rFonts w:asciiTheme="minorHAnsi" w:hAnsiTheme="minorHAnsi"/>
        </w:rPr>
        <w:t xml:space="preserve">Deputy General Counsel, </w:t>
      </w:r>
      <w:r w:rsidRPr="00434EBB">
        <w:rPr>
          <w:rFonts w:asciiTheme="minorHAnsi" w:hAnsiTheme="minorHAnsi"/>
        </w:rPr>
        <w:t>Department of Higher Education</w:t>
      </w:r>
    </w:p>
    <w:p w:rsidR="00103EC4" w:rsidRDefault="00103EC4" w:rsidP="00103EC4">
      <w:pPr>
        <w:ind w:left="1440"/>
        <w:rPr>
          <w:rFonts w:asciiTheme="minorHAnsi" w:hAnsiTheme="minorHAnsi"/>
        </w:rPr>
      </w:pPr>
    </w:p>
    <w:p w:rsidR="00273C0B" w:rsidRDefault="00273C0B" w:rsidP="00103EC4">
      <w:pPr>
        <w:ind w:left="1440"/>
        <w:rPr>
          <w:rFonts w:asciiTheme="minorHAnsi" w:hAnsiTheme="minorHAnsi"/>
        </w:rPr>
      </w:pPr>
    </w:p>
    <w:p w:rsidR="00273C0B" w:rsidRPr="00434EBB" w:rsidRDefault="00273C0B" w:rsidP="00103EC4">
      <w:pPr>
        <w:ind w:left="1440"/>
        <w:rPr>
          <w:rFonts w:asciiTheme="minorHAnsi" w:hAnsiTheme="minorHAnsi"/>
        </w:rPr>
      </w:pPr>
    </w:p>
    <w:p w:rsidR="001C156A" w:rsidRDefault="00A17A7B" w:rsidP="00103EC4">
      <w:pPr>
        <w:rPr>
          <w:rFonts w:asciiTheme="minorHAnsi" w:hAnsiTheme="minorHAnsi"/>
        </w:rPr>
      </w:pPr>
      <w:r w:rsidRPr="00434EBB">
        <w:rPr>
          <w:rFonts w:asciiTheme="minorHAnsi" w:hAnsiTheme="minorHAnsi"/>
        </w:rPr>
        <w:lastRenderedPageBreak/>
        <w:t>9:45 – 10:45:</w:t>
      </w:r>
      <w:r w:rsidRPr="00434EBB">
        <w:rPr>
          <w:rFonts w:asciiTheme="minorHAnsi" w:hAnsiTheme="minorHAnsi"/>
        </w:rPr>
        <w:tab/>
      </w:r>
      <w:r w:rsidRPr="00434EBB">
        <w:rPr>
          <w:rFonts w:asciiTheme="minorHAnsi" w:hAnsiTheme="minorHAnsi"/>
          <w:i/>
        </w:rPr>
        <w:t>Fraud</w:t>
      </w:r>
      <w:r w:rsidR="00D92011">
        <w:rPr>
          <w:rFonts w:asciiTheme="minorHAnsi" w:hAnsiTheme="minorHAnsi"/>
          <w:i/>
        </w:rPr>
        <w:t xml:space="preserve"> Awareness and Detection</w:t>
      </w:r>
      <w:r w:rsidRPr="00434EBB">
        <w:rPr>
          <w:rFonts w:asciiTheme="minorHAnsi" w:hAnsiTheme="minorHAnsi"/>
        </w:rPr>
        <w:t xml:space="preserve"> </w:t>
      </w:r>
    </w:p>
    <w:p w:rsidR="00D92011" w:rsidRPr="00B6664B" w:rsidRDefault="00D92011" w:rsidP="00D92011">
      <w:pPr>
        <w:ind w:left="1440"/>
        <w:rPr>
          <w:rFonts w:asciiTheme="minorHAnsi" w:hAnsiTheme="minorHAnsi"/>
        </w:rPr>
      </w:pPr>
      <w:r w:rsidRPr="00B6664B">
        <w:rPr>
          <w:rFonts w:asciiTheme="minorHAnsi" w:hAnsiTheme="minorHAnsi"/>
        </w:rPr>
        <w:t>Fraud is a risk to every organization.  Public organizations victimized by fraud suffer losses including hard-earned funds, assets, prestige/reputation, and must incur significant costs to address the fallout from this crime.  Raising fraud awareness is the first step in addressing this risk.  The goal of this session is to raise your awareness and to introduce you to fraud prevention measures.     </w:t>
      </w:r>
    </w:p>
    <w:p w:rsidR="001C156A" w:rsidRDefault="001C156A" w:rsidP="001C156A">
      <w:pPr>
        <w:ind w:left="1440"/>
        <w:rPr>
          <w:rFonts w:asciiTheme="minorHAnsi" w:hAnsiTheme="minorHAnsi"/>
        </w:rPr>
      </w:pPr>
    </w:p>
    <w:p w:rsidR="00D92011" w:rsidRPr="00B6664B" w:rsidRDefault="00D92011" w:rsidP="00D92011">
      <w:pPr>
        <w:ind w:left="1440"/>
        <w:rPr>
          <w:rFonts w:asciiTheme="minorHAnsi" w:hAnsiTheme="minorHAnsi"/>
        </w:rPr>
      </w:pPr>
      <w:r w:rsidRPr="00B6664B">
        <w:rPr>
          <w:rFonts w:asciiTheme="minorHAnsi" w:hAnsiTheme="minorHAnsi"/>
        </w:rPr>
        <w:t xml:space="preserve">Discussion led by Neil Cohen, </w:t>
      </w:r>
      <w:r w:rsidR="00B6664B" w:rsidRPr="00B6664B">
        <w:rPr>
          <w:rFonts w:asciiTheme="minorHAnsi" w:hAnsiTheme="minorHAnsi"/>
        </w:rPr>
        <w:t>Deputy Director for Audit, Oversight &amp; Investigations</w:t>
      </w:r>
      <w:r w:rsidRPr="00B6664B">
        <w:rPr>
          <w:rFonts w:asciiTheme="minorHAnsi" w:hAnsiTheme="minorHAnsi"/>
        </w:rPr>
        <w:t>, Office of the Inspector General</w:t>
      </w:r>
    </w:p>
    <w:p w:rsidR="00434EBB" w:rsidRPr="00434EBB" w:rsidRDefault="00434EBB" w:rsidP="00103EC4">
      <w:pPr>
        <w:rPr>
          <w:rFonts w:asciiTheme="minorHAnsi" w:hAnsiTheme="minorHAnsi"/>
        </w:rPr>
      </w:pPr>
    </w:p>
    <w:p w:rsidR="00A17A7B" w:rsidRDefault="00A17A7B" w:rsidP="00103EC4">
      <w:pPr>
        <w:rPr>
          <w:rFonts w:asciiTheme="minorHAnsi" w:hAnsiTheme="minorHAnsi"/>
          <w:i/>
        </w:rPr>
      </w:pPr>
      <w:r w:rsidRPr="00434EBB">
        <w:rPr>
          <w:rFonts w:asciiTheme="minorHAnsi" w:hAnsiTheme="minorHAnsi"/>
          <w:i/>
        </w:rPr>
        <w:t>10:45 – 11:00:</w:t>
      </w:r>
      <w:r w:rsidRPr="00434EBB">
        <w:rPr>
          <w:rFonts w:asciiTheme="minorHAnsi" w:hAnsiTheme="minorHAnsi"/>
          <w:i/>
        </w:rPr>
        <w:tab/>
        <w:t>Break</w:t>
      </w:r>
    </w:p>
    <w:p w:rsidR="00434EBB" w:rsidRPr="00434EBB" w:rsidRDefault="00434EBB" w:rsidP="00103EC4">
      <w:pPr>
        <w:rPr>
          <w:rFonts w:asciiTheme="minorHAnsi" w:hAnsiTheme="minorHAnsi"/>
          <w:i/>
        </w:rPr>
      </w:pPr>
    </w:p>
    <w:p w:rsidR="00A17A7B" w:rsidRDefault="00A17A7B" w:rsidP="00103EC4">
      <w:pPr>
        <w:rPr>
          <w:rFonts w:asciiTheme="minorHAnsi" w:hAnsiTheme="minorHAnsi"/>
        </w:rPr>
      </w:pPr>
      <w:r w:rsidRPr="00434EBB">
        <w:rPr>
          <w:rFonts w:asciiTheme="minorHAnsi" w:hAnsiTheme="minorHAnsi"/>
        </w:rPr>
        <w:t>11:00 – 11:30:</w:t>
      </w:r>
      <w:r w:rsidR="001C1493">
        <w:rPr>
          <w:rFonts w:asciiTheme="minorHAnsi" w:hAnsiTheme="minorHAnsi"/>
        </w:rPr>
        <w:tab/>
      </w:r>
      <w:r w:rsidRPr="00434EBB">
        <w:rPr>
          <w:rFonts w:asciiTheme="minorHAnsi" w:hAnsiTheme="minorHAnsi"/>
          <w:i/>
        </w:rPr>
        <w:t>The Ethics Law and Trustees</w:t>
      </w:r>
      <w:r w:rsidRPr="00434EBB">
        <w:rPr>
          <w:rFonts w:asciiTheme="minorHAnsi" w:hAnsiTheme="minorHAnsi"/>
        </w:rPr>
        <w:t xml:space="preserve"> </w:t>
      </w:r>
    </w:p>
    <w:p w:rsidR="001C156A" w:rsidRPr="001C1493" w:rsidRDefault="001C1493" w:rsidP="001C1493">
      <w:pPr>
        <w:ind w:left="1440"/>
        <w:rPr>
          <w:rFonts w:asciiTheme="minorHAnsi" w:hAnsiTheme="minorHAnsi"/>
        </w:rPr>
      </w:pPr>
      <w:r>
        <w:rPr>
          <w:rFonts w:asciiTheme="minorHAnsi" w:hAnsiTheme="minorHAnsi"/>
        </w:rPr>
        <w:t xml:space="preserve">This </w:t>
      </w:r>
      <w:r w:rsidR="00BA5413">
        <w:rPr>
          <w:rFonts w:asciiTheme="minorHAnsi" w:hAnsiTheme="minorHAnsi"/>
        </w:rPr>
        <w:t>brief overview</w:t>
      </w:r>
      <w:r>
        <w:rPr>
          <w:rFonts w:asciiTheme="minorHAnsi" w:hAnsiTheme="minorHAnsi"/>
        </w:rPr>
        <w:t xml:space="preserve"> will</w:t>
      </w:r>
      <w:r w:rsidR="001C156A" w:rsidRPr="001C1493">
        <w:rPr>
          <w:rFonts w:asciiTheme="minorHAnsi" w:hAnsiTheme="minorHAnsi"/>
        </w:rPr>
        <w:t xml:space="preserve"> </w:t>
      </w:r>
      <w:r w:rsidR="00BA5413">
        <w:rPr>
          <w:rFonts w:asciiTheme="minorHAnsi" w:hAnsiTheme="minorHAnsi"/>
        </w:rPr>
        <w:t xml:space="preserve">provide </w:t>
      </w:r>
      <w:r w:rsidR="001C156A" w:rsidRPr="001C1493">
        <w:rPr>
          <w:rFonts w:asciiTheme="minorHAnsi" w:hAnsiTheme="minorHAnsi"/>
        </w:rPr>
        <w:t>information on the requirements of the state’s conflict of interest law so that trustees will be able to both recognize and properly respond to conflicts of interest that can occur whenever a trustee’s public responsibilities and private interests intersect.</w:t>
      </w:r>
    </w:p>
    <w:p w:rsidR="001C156A" w:rsidRDefault="001C156A" w:rsidP="00103EC4">
      <w:pPr>
        <w:rPr>
          <w:rFonts w:asciiTheme="minorHAnsi" w:hAnsiTheme="minorHAnsi"/>
        </w:rPr>
      </w:pPr>
    </w:p>
    <w:p w:rsidR="001C156A" w:rsidRDefault="00E8488E" w:rsidP="00BA5413">
      <w:pPr>
        <w:ind w:left="1440"/>
        <w:rPr>
          <w:rFonts w:asciiTheme="minorHAnsi" w:hAnsiTheme="minorHAnsi"/>
        </w:rPr>
      </w:pPr>
      <w:r>
        <w:rPr>
          <w:rFonts w:asciiTheme="minorHAnsi" w:hAnsiTheme="minorHAnsi"/>
        </w:rPr>
        <w:t>Discussion l</w:t>
      </w:r>
      <w:r w:rsidR="001C156A">
        <w:rPr>
          <w:rFonts w:asciiTheme="minorHAnsi" w:hAnsiTheme="minorHAnsi"/>
        </w:rPr>
        <w:t xml:space="preserve">ed by </w:t>
      </w:r>
      <w:r w:rsidR="001C156A" w:rsidRPr="00434EBB">
        <w:rPr>
          <w:rFonts w:asciiTheme="minorHAnsi" w:hAnsiTheme="minorHAnsi"/>
        </w:rPr>
        <w:t xml:space="preserve">Dave Giannotti, </w:t>
      </w:r>
      <w:r w:rsidR="001C1493" w:rsidRPr="001C1493">
        <w:rPr>
          <w:rFonts w:asciiTheme="minorHAnsi" w:hAnsiTheme="minorHAnsi"/>
        </w:rPr>
        <w:t>Chief of the Ethic Commission’s Public Education and Communications Division</w:t>
      </w:r>
    </w:p>
    <w:p w:rsidR="00434EBB" w:rsidRPr="00434EBB" w:rsidRDefault="00434EBB" w:rsidP="00103EC4">
      <w:pPr>
        <w:rPr>
          <w:rFonts w:asciiTheme="minorHAnsi" w:hAnsiTheme="minorHAnsi"/>
        </w:rPr>
      </w:pPr>
    </w:p>
    <w:p w:rsidR="00E8488E" w:rsidRDefault="00A17A7B" w:rsidP="00E8488E">
      <w:pPr>
        <w:ind w:left="1440" w:hanging="1440"/>
        <w:rPr>
          <w:rFonts w:asciiTheme="minorHAnsi" w:hAnsiTheme="minorHAnsi"/>
        </w:rPr>
      </w:pPr>
      <w:r w:rsidRPr="00434EBB">
        <w:rPr>
          <w:rFonts w:asciiTheme="minorHAnsi" w:hAnsiTheme="minorHAnsi"/>
        </w:rPr>
        <w:t>11:30 – 11:50</w:t>
      </w:r>
      <w:r w:rsidRPr="00434EBB">
        <w:rPr>
          <w:rFonts w:asciiTheme="minorHAnsi" w:hAnsiTheme="minorHAnsi"/>
        </w:rPr>
        <w:tab/>
      </w:r>
      <w:r w:rsidR="00E8488E">
        <w:rPr>
          <w:rFonts w:asciiTheme="minorHAnsi" w:hAnsiTheme="minorHAnsi"/>
          <w:i/>
        </w:rPr>
        <w:t>Oversight</w:t>
      </w:r>
      <w:r w:rsidRPr="00434EBB">
        <w:rPr>
          <w:rFonts w:asciiTheme="minorHAnsi" w:hAnsiTheme="minorHAnsi"/>
          <w:i/>
        </w:rPr>
        <w:t xml:space="preserve"> of a Public Charity</w:t>
      </w:r>
      <w:r w:rsidRPr="00434EBB">
        <w:rPr>
          <w:rFonts w:asciiTheme="minorHAnsi" w:hAnsiTheme="minorHAnsi"/>
        </w:rPr>
        <w:t xml:space="preserve"> </w:t>
      </w:r>
    </w:p>
    <w:p w:rsidR="00057B86" w:rsidRPr="00057B86" w:rsidRDefault="00057B86" w:rsidP="00057B86">
      <w:pPr>
        <w:ind w:left="1440"/>
        <w:rPr>
          <w:rFonts w:asciiTheme="minorHAnsi" w:hAnsiTheme="minorHAnsi"/>
        </w:rPr>
      </w:pPr>
      <w:r>
        <w:rPr>
          <w:rFonts w:asciiTheme="minorHAnsi" w:hAnsiTheme="minorHAnsi"/>
        </w:rPr>
        <w:t>The O</w:t>
      </w:r>
      <w:r w:rsidRPr="00057B86">
        <w:rPr>
          <w:rFonts w:asciiTheme="minorHAnsi" w:hAnsiTheme="minorHAnsi"/>
        </w:rPr>
        <w:t>ffice of Attorney General Maura Healey will address the nature of fiduciary duty and the responsibilities of the charitable fiduciaries, including their duty of care and duty of loyalty.</w:t>
      </w:r>
    </w:p>
    <w:p w:rsidR="00E8488E" w:rsidRDefault="00E8488E" w:rsidP="00E8488E">
      <w:pPr>
        <w:ind w:left="1440" w:hanging="1440"/>
        <w:rPr>
          <w:rFonts w:asciiTheme="minorHAnsi" w:hAnsiTheme="minorHAnsi"/>
        </w:rPr>
      </w:pPr>
    </w:p>
    <w:p w:rsidR="00A17A7B" w:rsidRDefault="00E8488E" w:rsidP="00E8488E">
      <w:pPr>
        <w:ind w:left="1440"/>
        <w:rPr>
          <w:rFonts w:asciiTheme="minorHAnsi" w:hAnsiTheme="minorHAnsi"/>
        </w:rPr>
      </w:pPr>
      <w:r>
        <w:rPr>
          <w:rFonts w:asciiTheme="minorHAnsi" w:hAnsiTheme="minorHAnsi"/>
        </w:rPr>
        <w:t xml:space="preserve">Led by </w:t>
      </w:r>
      <w:r w:rsidR="00381344">
        <w:rPr>
          <w:rFonts w:asciiTheme="minorHAnsi" w:hAnsiTheme="minorHAnsi"/>
        </w:rPr>
        <w:t>Nora Mann</w:t>
      </w:r>
      <w:r w:rsidR="00A17A7B" w:rsidRPr="00434EBB">
        <w:rPr>
          <w:rFonts w:asciiTheme="minorHAnsi" w:hAnsiTheme="minorHAnsi"/>
        </w:rPr>
        <w:t xml:space="preserve">, </w:t>
      </w:r>
      <w:r w:rsidR="00381344">
        <w:rPr>
          <w:rFonts w:asciiTheme="minorHAnsi" w:hAnsiTheme="minorHAnsi"/>
        </w:rPr>
        <w:t xml:space="preserve">Deputy </w:t>
      </w:r>
      <w:r>
        <w:rPr>
          <w:rFonts w:asciiTheme="minorHAnsi" w:hAnsiTheme="minorHAnsi"/>
        </w:rPr>
        <w:t xml:space="preserve">Division Chief, </w:t>
      </w:r>
      <w:r w:rsidR="00A17A7B" w:rsidRPr="00434EBB">
        <w:rPr>
          <w:rFonts w:asciiTheme="minorHAnsi" w:hAnsiTheme="minorHAnsi"/>
        </w:rPr>
        <w:t>Non-Profit Organizations/Public Chari</w:t>
      </w:r>
      <w:r w:rsidR="0099035B">
        <w:rPr>
          <w:rFonts w:asciiTheme="minorHAnsi" w:hAnsiTheme="minorHAnsi"/>
        </w:rPr>
        <w:t>ties Division, Attorney General Maura Healey’</w:t>
      </w:r>
      <w:r w:rsidR="00A17A7B" w:rsidRPr="00434EBB">
        <w:rPr>
          <w:rFonts w:asciiTheme="minorHAnsi" w:hAnsiTheme="minorHAnsi"/>
        </w:rPr>
        <w:t>s Office</w:t>
      </w:r>
    </w:p>
    <w:p w:rsidR="00434EBB" w:rsidRPr="00434EBB" w:rsidRDefault="00434EBB" w:rsidP="00103EC4">
      <w:pPr>
        <w:rPr>
          <w:rFonts w:asciiTheme="minorHAnsi" w:hAnsiTheme="minorHAnsi"/>
        </w:rPr>
      </w:pPr>
    </w:p>
    <w:p w:rsidR="00A17A7B" w:rsidRDefault="00A17A7B" w:rsidP="00103EC4">
      <w:pPr>
        <w:rPr>
          <w:rFonts w:asciiTheme="minorHAnsi" w:hAnsiTheme="minorHAnsi"/>
          <w:i/>
        </w:rPr>
      </w:pPr>
      <w:r w:rsidRPr="00434EBB">
        <w:rPr>
          <w:rFonts w:asciiTheme="minorHAnsi" w:hAnsiTheme="minorHAnsi"/>
          <w:i/>
        </w:rPr>
        <w:t>11:50 – 12:00:</w:t>
      </w:r>
      <w:r w:rsidRPr="00434EBB">
        <w:rPr>
          <w:rFonts w:asciiTheme="minorHAnsi" w:hAnsiTheme="minorHAnsi"/>
          <w:i/>
        </w:rPr>
        <w:tab/>
        <w:t>Break</w:t>
      </w:r>
    </w:p>
    <w:p w:rsidR="00434EBB" w:rsidRPr="00434EBB" w:rsidRDefault="00434EBB" w:rsidP="00103EC4">
      <w:pPr>
        <w:rPr>
          <w:rFonts w:asciiTheme="minorHAnsi" w:hAnsiTheme="minorHAnsi"/>
          <w:i/>
        </w:rPr>
      </w:pPr>
    </w:p>
    <w:p w:rsidR="00A17A7B" w:rsidRPr="00434EBB" w:rsidRDefault="00A17A7B" w:rsidP="00103EC4">
      <w:pPr>
        <w:rPr>
          <w:rFonts w:asciiTheme="minorHAnsi" w:hAnsiTheme="minorHAnsi"/>
        </w:rPr>
      </w:pPr>
      <w:r w:rsidRPr="00434EBB">
        <w:rPr>
          <w:rFonts w:asciiTheme="minorHAnsi" w:hAnsiTheme="minorHAnsi"/>
        </w:rPr>
        <w:t>12:00 – 1:30:</w:t>
      </w:r>
      <w:r w:rsidRPr="00434EBB">
        <w:rPr>
          <w:rFonts w:asciiTheme="minorHAnsi" w:hAnsiTheme="minorHAnsi"/>
        </w:rPr>
        <w:tab/>
      </w:r>
      <w:r w:rsidR="00345A26" w:rsidRPr="00434EBB">
        <w:rPr>
          <w:rFonts w:asciiTheme="minorHAnsi" w:hAnsiTheme="minorHAnsi"/>
        </w:rPr>
        <w:t xml:space="preserve">Lunch, </w:t>
      </w:r>
      <w:r w:rsidRPr="00434EBB">
        <w:rPr>
          <w:rFonts w:asciiTheme="minorHAnsi" w:hAnsiTheme="minorHAnsi"/>
        </w:rPr>
        <w:t>T</w:t>
      </w:r>
      <w:r w:rsidR="00345A26" w:rsidRPr="00434EBB">
        <w:rPr>
          <w:rFonts w:asciiTheme="minorHAnsi" w:hAnsiTheme="minorHAnsi"/>
        </w:rPr>
        <w:t>able Discussion</w:t>
      </w:r>
      <w:r w:rsidRPr="00434EBB">
        <w:rPr>
          <w:rFonts w:asciiTheme="minorHAnsi" w:hAnsiTheme="minorHAnsi"/>
        </w:rPr>
        <w:t xml:space="preserve"> and Multi-agency panel </w:t>
      </w:r>
    </w:p>
    <w:p w:rsidR="00A17A7B" w:rsidRDefault="00A17A7B" w:rsidP="00103EC4"/>
    <w:sectPr w:rsidR="00A17A7B" w:rsidSect="00521857">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5D1E3E"/>
    <w:multiLevelType w:val="hybridMultilevel"/>
    <w:tmpl w:val="CD88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compat/>
  <w:rsids>
    <w:rsidRoot w:val="00A17A7B"/>
    <w:rsid w:val="00057B86"/>
    <w:rsid w:val="00103EC4"/>
    <w:rsid w:val="0010691E"/>
    <w:rsid w:val="0018551E"/>
    <w:rsid w:val="001C1493"/>
    <w:rsid w:val="001C156A"/>
    <w:rsid w:val="00210329"/>
    <w:rsid w:val="00237F6A"/>
    <w:rsid w:val="00243A6C"/>
    <w:rsid w:val="00273C0B"/>
    <w:rsid w:val="00277A98"/>
    <w:rsid w:val="00345A26"/>
    <w:rsid w:val="00381344"/>
    <w:rsid w:val="0040767F"/>
    <w:rsid w:val="00434EBB"/>
    <w:rsid w:val="004461A7"/>
    <w:rsid w:val="004E4D60"/>
    <w:rsid w:val="00521857"/>
    <w:rsid w:val="00542743"/>
    <w:rsid w:val="00615CB8"/>
    <w:rsid w:val="00654C89"/>
    <w:rsid w:val="008454A3"/>
    <w:rsid w:val="00876724"/>
    <w:rsid w:val="008C6132"/>
    <w:rsid w:val="0099035B"/>
    <w:rsid w:val="009B3D10"/>
    <w:rsid w:val="00A17A7B"/>
    <w:rsid w:val="00AD0CC2"/>
    <w:rsid w:val="00AF1EEA"/>
    <w:rsid w:val="00B04BF1"/>
    <w:rsid w:val="00B1221C"/>
    <w:rsid w:val="00B6664B"/>
    <w:rsid w:val="00B85B01"/>
    <w:rsid w:val="00BA5413"/>
    <w:rsid w:val="00CF7E61"/>
    <w:rsid w:val="00D24E5B"/>
    <w:rsid w:val="00D92011"/>
    <w:rsid w:val="00DC321D"/>
    <w:rsid w:val="00E1320E"/>
    <w:rsid w:val="00E8488E"/>
    <w:rsid w:val="00F861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218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7B"/>
    <w:pPr>
      <w:ind w:left="720"/>
      <w:contextualSpacing/>
    </w:pPr>
  </w:style>
  <w:style w:type="paragraph" w:styleId="BalloonText">
    <w:name w:val="Balloon Text"/>
    <w:basedOn w:val="Normal"/>
    <w:link w:val="BalloonTextChar"/>
    <w:rsid w:val="00B6664B"/>
    <w:rPr>
      <w:rFonts w:ascii="Tahoma" w:hAnsi="Tahoma" w:cs="Tahoma"/>
      <w:sz w:val="16"/>
      <w:szCs w:val="16"/>
    </w:rPr>
  </w:style>
  <w:style w:type="character" w:customStyle="1" w:styleId="BalloonTextChar">
    <w:name w:val="Balloon Text Char"/>
    <w:basedOn w:val="DefaultParagraphFont"/>
    <w:link w:val="BalloonText"/>
    <w:rsid w:val="00B6664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1883123">
      <w:bodyDiv w:val="1"/>
      <w:marLeft w:val="0"/>
      <w:marRight w:val="0"/>
      <w:marTop w:val="0"/>
      <w:marBottom w:val="0"/>
      <w:divBdr>
        <w:top w:val="none" w:sz="0" w:space="0" w:color="auto"/>
        <w:left w:val="none" w:sz="0" w:space="0" w:color="auto"/>
        <w:bottom w:val="none" w:sz="0" w:space="0" w:color="auto"/>
        <w:right w:val="none" w:sz="0" w:space="0" w:color="auto"/>
      </w:divBdr>
    </w:div>
    <w:div w:id="790325451">
      <w:bodyDiv w:val="1"/>
      <w:marLeft w:val="0"/>
      <w:marRight w:val="0"/>
      <w:marTop w:val="0"/>
      <w:marBottom w:val="0"/>
      <w:divBdr>
        <w:top w:val="none" w:sz="0" w:space="0" w:color="auto"/>
        <w:left w:val="none" w:sz="0" w:space="0" w:color="auto"/>
        <w:bottom w:val="none" w:sz="0" w:space="0" w:color="auto"/>
        <w:right w:val="none" w:sz="0" w:space="0" w:color="auto"/>
      </w:divBdr>
    </w:div>
    <w:div w:id="1407146911">
      <w:bodyDiv w:val="1"/>
      <w:marLeft w:val="0"/>
      <w:marRight w:val="0"/>
      <w:marTop w:val="0"/>
      <w:marBottom w:val="0"/>
      <w:divBdr>
        <w:top w:val="none" w:sz="0" w:space="0" w:color="auto"/>
        <w:left w:val="none" w:sz="0" w:space="0" w:color="auto"/>
        <w:bottom w:val="none" w:sz="0" w:space="0" w:color="auto"/>
        <w:right w:val="none" w:sz="0" w:space="0" w:color="auto"/>
      </w:divBdr>
    </w:div>
    <w:div w:id="188691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Massachusetts Executive Office of Education</Company>
  <LinksUpToDate>false</LinksUpToDate>
  <CharactersWithSpaces>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JPERKINS</dc:creator>
  <cp:lastModifiedBy>mwoodward</cp:lastModifiedBy>
  <cp:revision>2</cp:revision>
  <cp:lastPrinted>2015-02-17T19:09:00Z</cp:lastPrinted>
  <dcterms:created xsi:type="dcterms:W3CDTF">2015-04-10T17:45:00Z</dcterms:created>
  <dcterms:modified xsi:type="dcterms:W3CDTF">2015-04-10T17:45:00Z</dcterms:modified>
</cp:coreProperties>
</file>